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296F" w:rsidRPr="00A2093F" w:rsidRDefault="00A2093F" w:rsidP="00A2093F">
      <w:pPr>
        <w:jc w:val="both"/>
        <w:rPr>
          <w:sz w:val="24"/>
          <w:szCs w:val="24"/>
          <w:u w:val="single"/>
        </w:rPr>
      </w:pPr>
      <w:r w:rsidRPr="00A2093F">
        <w:rPr>
          <w:rFonts w:cstheme="minorHAnsi"/>
          <w:noProof/>
          <w:color w:val="FF0000"/>
          <w:sz w:val="24"/>
          <w:szCs w:val="24"/>
          <w:u w:val="single"/>
        </w:rPr>
        <w:drawing>
          <wp:anchor distT="0" distB="0" distL="114300" distR="114300" simplePos="0" relativeHeight="251659264" behindDoc="0" locked="0" layoutInCell="1" allowOverlap="1" wp14:anchorId="0AA7AA82" wp14:editId="5D44F233">
            <wp:simplePos x="0" y="0"/>
            <wp:positionH relativeFrom="margin">
              <wp:align>left</wp:align>
            </wp:positionH>
            <wp:positionV relativeFrom="paragraph">
              <wp:posOffset>-818765</wp:posOffset>
            </wp:positionV>
            <wp:extent cx="1242008" cy="8191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08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093F">
        <w:rPr>
          <w:sz w:val="24"/>
          <w:szCs w:val="24"/>
          <w:u w:val="single"/>
        </w:rPr>
        <w:t xml:space="preserve">Year Two Maths Long Term Overview </w:t>
      </w:r>
      <w:bookmarkStart w:id="0" w:name="_GoBack"/>
      <w:bookmarkEnd w:id="0"/>
    </w:p>
    <w:tbl>
      <w:tblPr>
        <w:tblStyle w:val="TableGrid"/>
        <w:tblW w:w="13948" w:type="dxa"/>
        <w:tblInd w:w="6" w:type="dxa"/>
        <w:tblCellMar>
          <w:top w:w="46" w:type="dxa"/>
          <w:left w:w="72" w:type="dxa"/>
          <w:bottom w:w="0" w:type="dxa"/>
          <w:right w:w="64" w:type="dxa"/>
        </w:tblCellMar>
        <w:tblLook w:val="04A0" w:firstRow="1" w:lastRow="0" w:firstColumn="1" w:lastColumn="0" w:noHBand="0" w:noVBand="1"/>
      </w:tblPr>
      <w:tblGrid>
        <w:gridCol w:w="1241"/>
        <w:gridCol w:w="1058"/>
        <w:gridCol w:w="1047"/>
        <w:gridCol w:w="1053"/>
        <w:gridCol w:w="1078"/>
        <w:gridCol w:w="1026"/>
        <w:gridCol w:w="1003"/>
        <w:gridCol w:w="89"/>
        <w:gridCol w:w="1059"/>
        <w:gridCol w:w="71"/>
        <w:gridCol w:w="977"/>
        <w:gridCol w:w="1070"/>
        <w:gridCol w:w="173"/>
        <w:gridCol w:w="866"/>
        <w:gridCol w:w="91"/>
        <w:gridCol w:w="988"/>
        <w:gridCol w:w="1058"/>
      </w:tblGrid>
      <w:tr w:rsidR="0080296F">
        <w:trPr>
          <w:trHeight w:val="253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96F" w:rsidRDefault="00A2093F">
            <w:pPr>
              <w:ind w:left="35" w:right="0"/>
              <w:jc w:val="left"/>
            </w:pP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80296F" w:rsidRDefault="00A2093F">
            <w:pPr>
              <w:ind w:left="36" w:right="0"/>
              <w:jc w:val="left"/>
            </w:pPr>
            <w:r>
              <w:rPr>
                <w:rFonts w:ascii="Calibri" w:eastAsia="Calibri" w:hAnsi="Calibri" w:cs="Calibri"/>
              </w:rPr>
              <w:t xml:space="preserve">Week 1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80296F" w:rsidRDefault="00A2093F">
            <w:pPr>
              <w:ind w:left="36" w:right="0"/>
              <w:jc w:val="left"/>
            </w:pPr>
            <w:r>
              <w:rPr>
                <w:rFonts w:ascii="Calibri" w:eastAsia="Calibri" w:hAnsi="Calibri" w:cs="Calibri"/>
              </w:rPr>
              <w:t>Week 2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80296F" w:rsidRDefault="00A2093F">
            <w:pPr>
              <w:ind w:left="48" w:right="0"/>
              <w:jc w:val="left"/>
            </w:pPr>
            <w:r>
              <w:rPr>
                <w:rFonts w:ascii="Calibri" w:eastAsia="Calibri" w:hAnsi="Calibri" w:cs="Calibri"/>
              </w:rPr>
              <w:t>Week 3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80296F" w:rsidRDefault="00A2093F">
            <w:pPr>
              <w:ind w:left="57" w:right="0"/>
              <w:jc w:val="left"/>
            </w:pPr>
            <w:r>
              <w:rPr>
                <w:rFonts w:ascii="Calibri" w:eastAsia="Calibri" w:hAnsi="Calibri" w:cs="Calibri"/>
              </w:rPr>
              <w:t>Week 4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80296F" w:rsidRDefault="00A2093F">
            <w:pPr>
              <w:ind w:left="37" w:right="0"/>
              <w:jc w:val="left"/>
            </w:pPr>
            <w:r>
              <w:rPr>
                <w:rFonts w:ascii="Calibri" w:eastAsia="Calibri" w:hAnsi="Calibri" w:cs="Calibri"/>
              </w:rPr>
              <w:t>Week 5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80296F" w:rsidRDefault="00A2093F">
            <w:pPr>
              <w:ind w:left="70" w:right="0"/>
              <w:jc w:val="left"/>
            </w:pPr>
            <w:r>
              <w:rPr>
                <w:rFonts w:ascii="Calibri" w:eastAsia="Calibri" w:hAnsi="Calibri" w:cs="Calibri"/>
              </w:rPr>
              <w:t>Week 6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80296F" w:rsidRDefault="00A2093F">
            <w:pPr>
              <w:ind w:left="36" w:right="0"/>
              <w:jc w:val="left"/>
            </w:pPr>
            <w:r>
              <w:rPr>
                <w:rFonts w:ascii="Calibri" w:eastAsia="Calibri" w:hAnsi="Calibri" w:cs="Calibri"/>
              </w:rPr>
              <w:t>Week 7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80296F" w:rsidRDefault="00A2093F">
            <w:pPr>
              <w:ind w:left="36" w:right="0"/>
              <w:jc w:val="left"/>
            </w:pPr>
            <w:r>
              <w:rPr>
                <w:rFonts w:ascii="Calibri" w:eastAsia="Calibri" w:hAnsi="Calibri" w:cs="Calibri"/>
              </w:rPr>
              <w:t>Week 8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80296F" w:rsidRDefault="00A2093F">
            <w:pPr>
              <w:ind w:left="47" w:right="0"/>
              <w:jc w:val="left"/>
            </w:pPr>
            <w:r>
              <w:rPr>
                <w:rFonts w:ascii="Calibri" w:eastAsia="Calibri" w:hAnsi="Calibri" w:cs="Calibri"/>
              </w:rPr>
              <w:t>Week 9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80296F" w:rsidRDefault="00A2093F">
            <w:pPr>
              <w:ind w:left="35" w:right="0"/>
              <w:jc w:val="left"/>
            </w:pPr>
            <w:r>
              <w:rPr>
                <w:rFonts w:ascii="Calibri" w:eastAsia="Calibri" w:hAnsi="Calibri" w:cs="Calibri"/>
              </w:rPr>
              <w:t>Week 10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80296F" w:rsidRDefault="00A2093F">
            <w:pPr>
              <w:ind w:left="55" w:right="0"/>
              <w:jc w:val="left"/>
            </w:pPr>
            <w:r>
              <w:rPr>
                <w:rFonts w:ascii="Calibri" w:eastAsia="Calibri" w:hAnsi="Calibri" w:cs="Calibri"/>
              </w:rPr>
              <w:t>Week 11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  <w:tc>
          <w:tcPr>
            <w:tcW w:w="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FF"/>
          </w:tcPr>
          <w:p w:rsidR="0080296F" w:rsidRDefault="00A2093F">
            <w:pPr>
              <w:ind w:left="35" w:right="0"/>
              <w:jc w:val="left"/>
            </w:pPr>
            <w:r>
              <w:rPr>
                <w:rFonts w:ascii="Calibri" w:eastAsia="Calibri" w:hAnsi="Calibri" w:cs="Calibri"/>
              </w:rPr>
              <w:t>Week 12</w:t>
            </w:r>
            <w:r>
              <w:rPr>
                <w:rFonts w:ascii="Calibri" w:eastAsia="Calibri" w:hAnsi="Calibri" w:cs="Calibri"/>
                <w:b w:val="0"/>
              </w:rPr>
              <w:t xml:space="preserve"> </w:t>
            </w:r>
          </w:p>
        </w:tc>
      </w:tr>
      <w:tr w:rsidR="0080296F">
        <w:trPr>
          <w:trHeight w:val="744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66FF"/>
          </w:tcPr>
          <w:p w:rsidR="0080296F" w:rsidRDefault="00A2093F">
            <w:pPr>
              <w:ind w:left="35" w:right="0"/>
              <w:jc w:val="left"/>
            </w:pPr>
            <w:r>
              <w:t xml:space="preserve">Autumn </w:t>
            </w:r>
          </w:p>
        </w:tc>
        <w:tc>
          <w:tcPr>
            <w:tcW w:w="3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80296F" w:rsidRDefault="00A2093F">
            <w:pPr>
              <w:ind w:right="35"/>
              <w:jc w:val="center"/>
            </w:pPr>
            <w:r>
              <w:t xml:space="preserve">Number </w:t>
            </w:r>
          </w:p>
          <w:p w:rsidR="0080296F" w:rsidRDefault="00A2093F">
            <w:pPr>
              <w:ind w:right="31"/>
              <w:jc w:val="center"/>
            </w:pPr>
            <w:r>
              <w:rPr>
                <w:b w:val="0"/>
              </w:rPr>
              <w:t xml:space="preserve">Place Value  </w:t>
            </w:r>
          </w:p>
        </w:tc>
        <w:tc>
          <w:tcPr>
            <w:tcW w:w="530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80296F" w:rsidRDefault="00A2093F">
            <w:pPr>
              <w:ind w:right="40"/>
              <w:jc w:val="center"/>
            </w:pPr>
            <w:r>
              <w:t xml:space="preserve">Number </w:t>
            </w:r>
          </w:p>
          <w:p w:rsidR="0080296F" w:rsidRDefault="00A2093F">
            <w:pPr>
              <w:ind w:right="38"/>
              <w:jc w:val="center"/>
            </w:pPr>
            <w:r>
              <w:rPr>
                <w:b w:val="0"/>
              </w:rPr>
              <w:t xml:space="preserve">Addition and Subtraction  </w:t>
            </w:r>
          </w:p>
        </w:tc>
        <w:tc>
          <w:tcPr>
            <w:tcW w:w="424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80296F" w:rsidRDefault="00A2093F">
            <w:pPr>
              <w:ind w:left="1297" w:right="1233"/>
              <w:jc w:val="center"/>
            </w:pPr>
            <w:r>
              <w:t xml:space="preserve">Geometry </w:t>
            </w:r>
            <w:r>
              <w:rPr>
                <w:b w:val="0"/>
              </w:rPr>
              <w:t xml:space="preserve">Shape </w:t>
            </w:r>
          </w:p>
        </w:tc>
      </w:tr>
      <w:tr w:rsidR="0080296F">
        <w:trPr>
          <w:trHeight w:val="84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66FF"/>
          </w:tcPr>
          <w:p w:rsidR="0080296F" w:rsidRDefault="00A2093F">
            <w:pPr>
              <w:ind w:left="35" w:right="0"/>
              <w:jc w:val="left"/>
            </w:pPr>
            <w:r>
              <w:t xml:space="preserve">Mastering </w:t>
            </w:r>
          </w:p>
          <w:p w:rsidR="0080296F" w:rsidRDefault="00A2093F">
            <w:pPr>
              <w:ind w:left="35" w:right="0"/>
              <w:jc w:val="left"/>
            </w:pPr>
            <w:r>
              <w:t xml:space="preserve">Number </w:t>
            </w:r>
          </w:p>
          <w:p w:rsidR="0080296F" w:rsidRDefault="00A2093F">
            <w:pPr>
              <w:ind w:left="35" w:right="0"/>
              <w:jc w:val="left"/>
            </w:pPr>
            <w:r>
              <w:t xml:space="preserve">Focus </w:t>
            </w:r>
          </w:p>
        </w:tc>
        <w:tc>
          <w:tcPr>
            <w:tcW w:w="12706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FFCC"/>
          </w:tcPr>
          <w:p w:rsidR="0080296F" w:rsidRDefault="00A2093F">
            <w:pPr>
              <w:ind w:left="36" w:right="0"/>
              <w:jc w:val="left"/>
            </w:pPr>
            <w:r>
              <w:rPr>
                <w:b w:val="0"/>
              </w:rPr>
              <w:t>Pupils will have an opportunity to consolidate their understanding and recall of number bonds within 10; they will re-cap the composition of the numbers 11 to 20 and reason about their position within the linear number system (see additional MNP overview).</w:t>
            </w:r>
            <w:r>
              <w:rPr>
                <w:b w:val="0"/>
              </w:rPr>
              <w:t xml:space="preserve"> </w:t>
            </w:r>
          </w:p>
        </w:tc>
      </w:tr>
      <w:tr w:rsidR="0080296F">
        <w:trPr>
          <w:trHeight w:val="566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66FF"/>
          </w:tcPr>
          <w:p w:rsidR="0080296F" w:rsidRDefault="00A2093F">
            <w:pPr>
              <w:ind w:left="35" w:right="0"/>
              <w:jc w:val="left"/>
            </w:pPr>
            <w:r>
              <w:t xml:space="preserve">Fact </w:t>
            </w:r>
          </w:p>
          <w:p w:rsidR="0080296F" w:rsidRDefault="00A2093F">
            <w:pPr>
              <w:ind w:left="35" w:right="0"/>
              <w:jc w:val="left"/>
            </w:pPr>
            <w:r>
              <w:t xml:space="preserve">Focus </w:t>
            </w:r>
          </w:p>
        </w:tc>
        <w:tc>
          <w:tcPr>
            <w:tcW w:w="52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96F" w:rsidRDefault="00A2093F">
            <w:pPr>
              <w:ind w:left="36" w:right="0"/>
              <w:jc w:val="left"/>
            </w:pPr>
            <w:r>
              <w:rPr>
                <w:b w:val="0"/>
              </w:rPr>
              <w:t xml:space="preserve">Partitioning 2, 3, 4, 5, 6, 7, 8, 9 and 10 </w:t>
            </w:r>
          </w:p>
        </w:tc>
        <w:tc>
          <w:tcPr>
            <w:tcW w:w="539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96F" w:rsidRDefault="00A2093F">
            <w:pPr>
              <w:ind w:right="0"/>
              <w:jc w:val="left"/>
            </w:pPr>
            <w:r>
              <w:rPr>
                <w:b w:val="0"/>
              </w:rPr>
              <w:t xml:space="preserve">Doubles of numbers to 10 (e.g. 7 + 7) </w:t>
            </w:r>
          </w:p>
        </w:tc>
        <w:tc>
          <w:tcPr>
            <w:tcW w:w="20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96F" w:rsidRDefault="00A2093F">
            <w:pPr>
              <w:ind w:left="36" w:right="0"/>
              <w:jc w:val="left"/>
            </w:pPr>
            <w:r>
              <w:rPr>
                <w:b w:val="0"/>
              </w:rPr>
              <w:t xml:space="preserve">Consolidation </w:t>
            </w:r>
          </w:p>
        </w:tc>
      </w:tr>
      <w:tr w:rsidR="0080296F">
        <w:trPr>
          <w:trHeight w:val="847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66FF"/>
          </w:tcPr>
          <w:p w:rsidR="0080296F" w:rsidRDefault="00A2093F">
            <w:pPr>
              <w:ind w:left="35" w:right="0"/>
              <w:jc w:val="left"/>
            </w:pPr>
            <w:r>
              <w:t xml:space="preserve">Spring </w:t>
            </w:r>
          </w:p>
        </w:tc>
        <w:tc>
          <w:tcPr>
            <w:tcW w:w="2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80296F" w:rsidRDefault="00A2093F">
            <w:pPr>
              <w:ind w:left="672" w:right="0" w:hanging="336"/>
              <w:jc w:val="left"/>
            </w:pPr>
            <w:r>
              <w:t xml:space="preserve">Measurement </w:t>
            </w:r>
            <w:r>
              <w:rPr>
                <w:b w:val="0"/>
              </w:rPr>
              <w:t xml:space="preserve">Money </w:t>
            </w:r>
          </w:p>
        </w:tc>
        <w:tc>
          <w:tcPr>
            <w:tcW w:w="537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80296F" w:rsidRDefault="00A2093F">
            <w:pPr>
              <w:ind w:right="28"/>
              <w:jc w:val="center"/>
            </w:pPr>
            <w:r>
              <w:t xml:space="preserve">Number </w:t>
            </w:r>
          </w:p>
          <w:p w:rsidR="0080296F" w:rsidRDefault="00A2093F">
            <w:pPr>
              <w:ind w:right="26"/>
              <w:jc w:val="center"/>
            </w:pPr>
            <w:r>
              <w:rPr>
                <w:b w:val="0"/>
              </w:rPr>
              <w:t xml:space="preserve">Multiplication and division  </w:t>
            </w:r>
          </w:p>
          <w:p w:rsidR="0080296F" w:rsidRDefault="00A2093F">
            <w:pPr>
              <w:ind w:left="35" w:right="0"/>
              <w:jc w:val="center"/>
            </w:pPr>
            <w:r>
              <w:rPr>
                <w:b w:val="0"/>
              </w:rPr>
              <w:t xml:space="preserve"> </w:t>
            </w:r>
          </w:p>
        </w:tc>
        <w:tc>
          <w:tcPr>
            <w:tcW w:w="22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80296F" w:rsidRDefault="00A2093F">
            <w:pPr>
              <w:ind w:right="15"/>
              <w:jc w:val="center"/>
            </w:pPr>
            <w:r>
              <w:t xml:space="preserve">Measurement </w:t>
            </w:r>
          </w:p>
          <w:p w:rsidR="0080296F" w:rsidRDefault="00A2093F">
            <w:pPr>
              <w:ind w:right="15"/>
              <w:jc w:val="center"/>
            </w:pPr>
            <w:r>
              <w:rPr>
                <w:b w:val="0"/>
              </w:rPr>
              <w:t xml:space="preserve">Length and height </w:t>
            </w:r>
          </w:p>
        </w:tc>
        <w:tc>
          <w:tcPr>
            <w:tcW w:w="30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80296F" w:rsidRDefault="00A2093F">
            <w:pPr>
              <w:ind w:right="13"/>
              <w:jc w:val="center"/>
            </w:pPr>
            <w:r>
              <w:t xml:space="preserve">Measurement </w:t>
            </w:r>
          </w:p>
          <w:p w:rsidR="0080296F" w:rsidRDefault="00A2093F">
            <w:pPr>
              <w:ind w:right="0"/>
              <w:jc w:val="center"/>
            </w:pPr>
            <w:r>
              <w:rPr>
                <w:b w:val="0"/>
              </w:rPr>
              <w:t xml:space="preserve">Mass, capacity and temperature </w:t>
            </w:r>
          </w:p>
        </w:tc>
      </w:tr>
      <w:tr w:rsidR="0080296F">
        <w:trPr>
          <w:trHeight w:val="1124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66FF"/>
          </w:tcPr>
          <w:p w:rsidR="0080296F" w:rsidRDefault="00A2093F">
            <w:pPr>
              <w:ind w:left="35" w:right="0"/>
              <w:jc w:val="left"/>
            </w:pPr>
            <w:r>
              <w:t xml:space="preserve">Mastering </w:t>
            </w:r>
          </w:p>
          <w:p w:rsidR="0080296F" w:rsidRDefault="00A2093F">
            <w:pPr>
              <w:ind w:left="35" w:right="0"/>
              <w:jc w:val="left"/>
            </w:pPr>
            <w:r>
              <w:t xml:space="preserve">Number </w:t>
            </w:r>
          </w:p>
          <w:p w:rsidR="0080296F" w:rsidRDefault="00A2093F">
            <w:pPr>
              <w:ind w:left="35" w:right="0"/>
              <w:jc w:val="left"/>
            </w:pPr>
            <w:r>
              <w:t xml:space="preserve">Focus </w:t>
            </w:r>
          </w:p>
        </w:tc>
        <w:tc>
          <w:tcPr>
            <w:tcW w:w="12706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FFCC"/>
          </w:tcPr>
          <w:p w:rsidR="0080296F" w:rsidRDefault="00A2093F">
            <w:pPr>
              <w:spacing w:line="240" w:lineRule="auto"/>
              <w:ind w:left="36" w:right="0"/>
              <w:jc w:val="left"/>
            </w:pPr>
            <w:r>
              <w:rPr>
                <w:b w:val="0"/>
              </w:rPr>
              <w:t>Pupils will have an opportunity to use their knowledge of the composition of numbers within 10 to calculate within 20; they will explore the links between the numbers in the number system within 10 to numbers within 100, focusing on multiples of 10 and the</w:t>
            </w:r>
            <w:r>
              <w:rPr>
                <w:b w:val="0"/>
              </w:rPr>
              <w:t xml:space="preserve"> midpoint of 50.   </w:t>
            </w:r>
          </w:p>
          <w:p w:rsidR="0080296F" w:rsidRDefault="00A2093F">
            <w:pPr>
              <w:ind w:left="36" w:right="0"/>
              <w:jc w:val="left"/>
            </w:pPr>
            <w:r>
              <w:rPr>
                <w:b w:val="0"/>
              </w:rPr>
              <w:t xml:space="preserve"> </w:t>
            </w:r>
          </w:p>
        </w:tc>
      </w:tr>
      <w:tr w:rsidR="0080296F">
        <w:trPr>
          <w:trHeight w:val="569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66FF"/>
          </w:tcPr>
          <w:p w:rsidR="0080296F" w:rsidRDefault="00A2093F">
            <w:pPr>
              <w:ind w:left="35" w:right="0"/>
              <w:jc w:val="left"/>
            </w:pPr>
            <w:r>
              <w:t xml:space="preserve">Fact </w:t>
            </w:r>
          </w:p>
          <w:p w:rsidR="0080296F" w:rsidRDefault="00A2093F">
            <w:pPr>
              <w:ind w:left="35" w:right="0"/>
              <w:jc w:val="left"/>
            </w:pPr>
            <w:r>
              <w:t xml:space="preserve">Focus </w:t>
            </w:r>
          </w:p>
        </w:tc>
        <w:tc>
          <w:tcPr>
            <w:tcW w:w="52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96F" w:rsidRDefault="00A2093F">
            <w:pPr>
              <w:ind w:left="36" w:right="0"/>
              <w:jc w:val="left"/>
            </w:pPr>
            <w:r>
              <w:rPr>
                <w:b w:val="0"/>
              </w:rPr>
              <w:t xml:space="preserve">Near doubles (e.g. 5 + 6 and 6 + 5) </w:t>
            </w:r>
          </w:p>
        </w:tc>
        <w:tc>
          <w:tcPr>
            <w:tcW w:w="530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96F" w:rsidRDefault="00A2093F">
            <w:pPr>
              <w:ind w:left="70" w:right="0"/>
              <w:jc w:val="left"/>
            </w:pPr>
            <w:r>
              <w:rPr>
                <w:b w:val="0"/>
              </w:rPr>
              <w:t xml:space="preserve">Partitioning 11 – 20 into single digit addends </w:t>
            </w:r>
          </w:p>
        </w:tc>
        <w:tc>
          <w:tcPr>
            <w:tcW w:w="21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96F" w:rsidRDefault="00A2093F">
            <w:pPr>
              <w:ind w:left="17" w:right="0"/>
              <w:jc w:val="left"/>
            </w:pPr>
            <w:r>
              <w:rPr>
                <w:b w:val="0"/>
              </w:rPr>
              <w:t xml:space="preserve">Consolidation </w:t>
            </w:r>
          </w:p>
        </w:tc>
      </w:tr>
      <w:tr w:rsidR="0080296F">
        <w:trPr>
          <w:trHeight w:val="84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00FF"/>
          </w:tcPr>
          <w:p w:rsidR="0080296F" w:rsidRDefault="00A2093F">
            <w:pPr>
              <w:ind w:left="35" w:right="0"/>
              <w:jc w:val="left"/>
            </w:pPr>
            <w:r>
              <w:t xml:space="preserve">Summer </w:t>
            </w:r>
          </w:p>
        </w:tc>
        <w:tc>
          <w:tcPr>
            <w:tcW w:w="31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80296F" w:rsidRDefault="00A2093F">
            <w:pPr>
              <w:ind w:right="35"/>
              <w:jc w:val="center"/>
            </w:pPr>
            <w:r>
              <w:t xml:space="preserve">Number </w:t>
            </w:r>
          </w:p>
          <w:p w:rsidR="0080296F" w:rsidRDefault="00A2093F">
            <w:pPr>
              <w:ind w:right="36"/>
              <w:jc w:val="center"/>
            </w:pPr>
            <w:r>
              <w:rPr>
                <w:b w:val="0"/>
              </w:rPr>
              <w:t xml:space="preserve">Fractions </w:t>
            </w:r>
          </w:p>
          <w:p w:rsidR="0080296F" w:rsidRDefault="00A2093F">
            <w:pPr>
              <w:ind w:left="28" w:right="0"/>
              <w:jc w:val="center"/>
            </w:pPr>
            <w:r>
              <w:rPr>
                <w:b w:val="0"/>
              </w:rPr>
              <w:t xml:space="preserve"> </w:t>
            </w:r>
          </w:p>
        </w:tc>
        <w:tc>
          <w:tcPr>
            <w:tcW w:w="310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80296F" w:rsidRDefault="00A2093F">
            <w:pPr>
              <w:ind w:right="31"/>
              <w:jc w:val="center"/>
            </w:pPr>
            <w:r>
              <w:t xml:space="preserve">Measurement </w:t>
            </w:r>
          </w:p>
          <w:p w:rsidR="0080296F" w:rsidRDefault="00A2093F">
            <w:pPr>
              <w:ind w:right="27"/>
              <w:jc w:val="center"/>
            </w:pPr>
            <w:r>
              <w:rPr>
                <w:b w:val="0"/>
              </w:rPr>
              <w:t xml:space="preserve">Time </w:t>
            </w:r>
          </w:p>
          <w:p w:rsidR="0080296F" w:rsidRDefault="00A2093F">
            <w:pPr>
              <w:ind w:left="34" w:right="0"/>
              <w:jc w:val="center"/>
            </w:pPr>
            <w:r>
              <w:rPr>
                <w:b w:val="0"/>
              </w:rPr>
              <w:t xml:space="preserve"> </w:t>
            </w:r>
          </w:p>
        </w:tc>
        <w:tc>
          <w:tcPr>
            <w:tcW w:w="219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80296F" w:rsidRDefault="00A2093F">
            <w:pPr>
              <w:ind w:right="23"/>
              <w:jc w:val="center"/>
            </w:pPr>
            <w:r>
              <w:t>Statistics</w:t>
            </w:r>
            <w:r>
              <w:rPr>
                <w:b w:val="0"/>
              </w:rPr>
              <w:t xml:space="preserve"> </w:t>
            </w:r>
          </w:p>
        </w:tc>
        <w:tc>
          <w:tcPr>
            <w:tcW w:w="21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80296F" w:rsidRDefault="00A2093F">
            <w:pPr>
              <w:ind w:right="44"/>
              <w:jc w:val="center"/>
            </w:pPr>
            <w:r>
              <w:t xml:space="preserve">Geometry </w:t>
            </w:r>
          </w:p>
          <w:p w:rsidR="0080296F" w:rsidRDefault="00A2093F">
            <w:pPr>
              <w:ind w:right="42"/>
              <w:jc w:val="center"/>
            </w:pPr>
            <w:r>
              <w:rPr>
                <w:b w:val="0"/>
              </w:rPr>
              <w:t xml:space="preserve">Position and </w:t>
            </w:r>
          </w:p>
          <w:p w:rsidR="0080296F" w:rsidRDefault="00A2093F">
            <w:pPr>
              <w:ind w:right="43"/>
              <w:jc w:val="center"/>
            </w:pPr>
            <w:r>
              <w:rPr>
                <w:b w:val="0"/>
              </w:rPr>
              <w:t xml:space="preserve">Direction </w:t>
            </w:r>
          </w:p>
        </w:tc>
        <w:tc>
          <w:tcPr>
            <w:tcW w:w="21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ECFF"/>
          </w:tcPr>
          <w:p w:rsidR="0080296F" w:rsidRDefault="00A2093F">
            <w:pPr>
              <w:ind w:left="17" w:right="0"/>
              <w:jc w:val="left"/>
            </w:pPr>
            <w:r>
              <w:rPr>
                <w:b w:val="0"/>
              </w:rPr>
              <w:t xml:space="preserve">Consolidation </w:t>
            </w:r>
          </w:p>
        </w:tc>
      </w:tr>
      <w:tr w:rsidR="0080296F">
        <w:trPr>
          <w:trHeight w:val="84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00FF"/>
          </w:tcPr>
          <w:p w:rsidR="0080296F" w:rsidRDefault="00A2093F">
            <w:pPr>
              <w:ind w:left="35" w:right="0"/>
              <w:jc w:val="left"/>
            </w:pPr>
            <w:r>
              <w:t xml:space="preserve">Mastering </w:t>
            </w:r>
          </w:p>
          <w:p w:rsidR="0080296F" w:rsidRDefault="00A2093F">
            <w:pPr>
              <w:ind w:left="35" w:right="0"/>
              <w:jc w:val="left"/>
            </w:pPr>
            <w:r>
              <w:t xml:space="preserve">Number </w:t>
            </w:r>
          </w:p>
          <w:p w:rsidR="0080296F" w:rsidRDefault="00A2093F">
            <w:pPr>
              <w:ind w:left="35" w:right="0"/>
              <w:jc w:val="left"/>
            </w:pPr>
            <w:r>
              <w:t xml:space="preserve">Focus </w:t>
            </w:r>
          </w:p>
        </w:tc>
        <w:tc>
          <w:tcPr>
            <w:tcW w:w="12706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6FFCC"/>
          </w:tcPr>
          <w:p w:rsidR="0080296F" w:rsidRDefault="00A2093F">
            <w:pPr>
              <w:ind w:left="36" w:right="0"/>
              <w:jc w:val="left"/>
            </w:pPr>
            <w:r>
              <w:rPr>
                <w:b w:val="0"/>
              </w:rPr>
              <w:t xml:space="preserve">Pupils will have further opportunities to use their knowledge of the composition of numbers within 10 to calculate within 20 and to reason about equations and inequalities.  </w:t>
            </w:r>
          </w:p>
        </w:tc>
      </w:tr>
      <w:tr w:rsidR="0080296F">
        <w:trPr>
          <w:trHeight w:val="56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00FF"/>
          </w:tcPr>
          <w:p w:rsidR="0080296F" w:rsidRDefault="00A2093F">
            <w:pPr>
              <w:ind w:left="35" w:right="0"/>
              <w:jc w:val="left"/>
            </w:pPr>
            <w:r>
              <w:t xml:space="preserve">Fact </w:t>
            </w:r>
          </w:p>
          <w:p w:rsidR="0080296F" w:rsidRDefault="00A2093F">
            <w:pPr>
              <w:ind w:left="35" w:right="0"/>
              <w:jc w:val="left"/>
            </w:pPr>
            <w:r>
              <w:t xml:space="preserve">Focus </w:t>
            </w:r>
          </w:p>
        </w:tc>
        <w:tc>
          <w:tcPr>
            <w:tcW w:w="52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96F" w:rsidRDefault="00A2093F">
            <w:pPr>
              <w:ind w:left="36" w:right="0"/>
              <w:jc w:val="left"/>
            </w:pPr>
            <w:r>
              <w:rPr>
                <w:b w:val="0"/>
              </w:rPr>
              <w:t xml:space="preserve">Bridging (e.g. 8 + 4 and 4 + 8) </w:t>
            </w:r>
          </w:p>
        </w:tc>
        <w:tc>
          <w:tcPr>
            <w:tcW w:w="444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96F" w:rsidRDefault="00A2093F">
            <w:pPr>
              <w:ind w:right="0"/>
              <w:jc w:val="left"/>
            </w:pPr>
            <w:r>
              <w:rPr>
                <w:b w:val="0"/>
              </w:rPr>
              <w:t xml:space="preserve">Compensating (e.g. 8 + 10 – 1) </w:t>
            </w:r>
          </w:p>
        </w:tc>
        <w:tc>
          <w:tcPr>
            <w:tcW w:w="30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296F" w:rsidRDefault="00A2093F">
            <w:pPr>
              <w:ind w:left="35" w:right="0"/>
              <w:jc w:val="left"/>
            </w:pPr>
            <w:r>
              <w:rPr>
                <w:b w:val="0"/>
              </w:rPr>
              <w:t xml:space="preserve">Consolidation </w:t>
            </w:r>
          </w:p>
        </w:tc>
      </w:tr>
    </w:tbl>
    <w:p w:rsidR="0080296F" w:rsidRDefault="00A2093F">
      <w:pPr>
        <w:ind w:right="0"/>
        <w:jc w:val="left"/>
      </w:pPr>
      <w:r>
        <w:rPr>
          <w:rFonts w:ascii="Calibri" w:eastAsia="Calibri" w:hAnsi="Calibri" w:cs="Calibri"/>
          <w:b w:val="0"/>
          <w:sz w:val="22"/>
        </w:rPr>
        <w:t xml:space="preserve"> </w:t>
      </w:r>
    </w:p>
    <w:sectPr w:rsidR="0080296F">
      <w:pgSz w:w="16838" w:h="11906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96F"/>
    <w:rsid w:val="0080296F"/>
    <w:rsid w:val="00A20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5842D7"/>
  <w15:docId w15:val="{F44BFAF2-60C3-4F8F-BD4A-725059AA5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right="9472"/>
      <w:jc w:val="right"/>
    </w:pPr>
    <w:rPr>
      <w:rFonts w:ascii="Comic Sans MS" w:eastAsia="Comic Sans MS" w:hAnsi="Comic Sans MS" w:cs="Comic Sans MS"/>
      <w:b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Carr</dc:creator>
  <cp:keywords/>
  <cp:lastModifiedBy>Aysha Vachhiyat</cp:lastModifiedBy>
  <cp:revision>2</cp:revision>
  <dcterms:created xsi:type="dcterms:W3CDTF">2024-04-24T00:23:00Z</dcterms:created>
  <dcterms:modified xsi:type="dcterms:W3CDTF">2024-04-24T00:23:00Z</dcterms:modified>
</cp:coreProperties>
</file>